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результативности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качестве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Эколята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 образован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ия Заниной Евгении Викторовны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с 2021 по 2024  годы.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«</w:t>
      </w:r>
      <w:r>
        <w:rPr>
          <w:rFonts w:ascii="Times New Roman" w:hAnsi="Times New Roman" w:cs="Times New Roman"/>
          <w:sz w:val="24"/>
          <w:szCs w:val="24"/>
        </w:rPr>
        <w:t xml:space="preserve">Эколята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еализуется на базе МОУ «Титовская ООШ» с. Титовки с 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Оценка качества реализации программы включает в себя контроль отдельно по каждой теме, 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общее подведение итогов освоения программы. Контроль в рамках реализации программы носит мотивационно - стимулирующий и корригирующий характер.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Результативность работы объединения определяется диагностикой, включающей в себя: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мониторинг ежегодного количества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занимающихся по программе;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мониторинг числа победителей и призеров конкурсов и олимпиад различного уровня;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мониторинг участия обучающихся в конкурсных мероприятиях, акциях,  экскурсиях.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усвоения </w:t>
      </w:r>
      <w:r>
        <w:rPr>
          <w:rFonts w:ascii="Times New Roman" w:hAnsi="Times New Roman" w:cs="Times New Roman"/>
          <w:sz w:val="24"/>
          <w:szCs w:val="24"/>
        </w:rPr>
        <w:t xml:space="preserve">ДОП</w:t>
      </w:r>
      <w:r>
        <w:rPr>
          <w:rFonts w:ascii="Times New Roman" w:hAnsi="Times New Roman" w:cs="Times New Roman"/>
          <w:sz w:val="24"/>
          <w:szCs w:val="24"/>
        </w:rPr>
        <w:t xml:space="preserve"> отражается в результативности участия на различных уровнях.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усвоения у</w:t>
      </w:r>
      <w:r>
        <w:rPr>
          <w:rFonts w:ascii="Times New Roman" w:hAnsi="Times New Roman" w:cs="Times New Roman"/>
          <w:b/>
          <w:sz w:val="24"/>
          <w:szCs w:val="24"/>
        </w:rPr>
        <w:t xml:space="preserve">чащимися программного материала основывается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воспроизведения знаний, уров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 понимания учебного материала;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 xml:space="preserve">не</w:t>
      </w:r>
      <w:r>
        <w:rPr>
          <w:rFonts w:ascii="Times New Roman" w:hAnsi="Times New Roman" w:cs="Times New Roman"/>
          <w:sz w:val="24"/>
          <w:szCs w:val="24"/>
        </w:rPr>
        <w:t xml:space="preserve"> овладения практическими умениями и навыками;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действенности знаний, умении</w:t>
      </w:r>
      <w:r>
        <w:rPr>
          <w:rFonts w:ascii="Times New Roman" w:hAnsi="Times New Roman" w:cs="Times New Roman"/>
          <w:sz w:val="24"/>
          <w:szCs w:val="24"/>
        </w:rPr>
        <w:t xml:space="preserve"> применять их в практическ</w:t>
      </w:r>
      <w:r>
        <w:rPr>
          <w:rFonts w:ascii="Times New Roman" w:hAnsi="Times New Roman" w:cs="Times New Roman"/>
          <w:sz w:val="24"/>
          <w:szCs w:val="24"/>
        </w:rPr>
        <w:t xml:space="preserve">ой  деятельности;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eastAsia="Symbol" w:cs="Symbol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умении</w:t>
      </w:r>
      <w:r>
        <w:rPr>
          <w:rFonts w:ascii="Times New Roman" w:hAnsi="Times New Roman" w:cs="Times New Roman"/>
          <w:sz w:val="24"/>
          <w:szCs w:val="24"/>
        </w:rPr>
        <w:t xml:space="preserve"> делать выводы и обобщения на основе практической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Диаграмма 1.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151765</wp:posOffset>
            </wp:positionV>
            <wp:extent cx="6280150" cy="2997200"/>
            <wp:effectExtent l="19050" t="0" r="25400" b="0"/>
            <wp:wrapTight wrapText="bothSides">
              <wp:wrapPolygon edited="1">
                <wp:start x="-66" y="0"/>
                <wp:lineTo x="-66" y="21554"/>
                <wp:lineTo x="21687" y="21554"/>
                <wp:lineTo x="21687" y="0"/>
                <wp:lineTo x="-66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диаграммы видно, что самые высокие результаты усвоения материала программы были выявлены в 2021-2022 году</w:t>
      </w:r>
      <w:r>
        <w:rPr>
          <w:rFonts w:ascii="Times New Roman" w:hAnsi="Times New Roman" w:cs="Times New Roman"/>
          <w:sz w:val="24"/>
          <w:szCs w:val="24"/>
        </w:rPr>
        <w:t xml:space="preserve">. Это обусловлено </w:t>
      </w:r>
      <w:r>
        <w:rPr>
          <w:rFonts w:ascii="Times New Roman" w:hAnsi="Times New Roman" w:cs="Times New Roman"/>
          <w:sz w:val="24"/>
          <w:szCs w:val="24"/>
        </w:rPr>
        <w:t xml:space="preserve">тем, что в этот период в объединении состояли </w:t>
      </w:r>
      <w:r>
        <w:rPr>
          <w:rFonts w:ascii="Times New Roman" w:hAnsi="Times New Roman" w:cs="Times New Roman"/>
          <w:sz w:val="24"/>
          <w:szCs w:val="24"/>
        </w:rPr>
        <w:t xml:space="preserve">дети последнего года обучения (10</w:t>
      </w:r>
      <w:r>
        <w:rPr>
          <w:rFonts w:ascii="Times New Roman" w:hAnsi="Times New Roman" w:cs="Times New Roman"/>
          <w:sz w:val="24"/>
          <w:szCs w:val="24"/>
        </w:rPr>
        <w:t xml:space="preserve">-11 лет), активные и замотивированные ребята. А в 2022-2023 в объединение пришли новые ученики, первоклассники, которые  в этом году  только начали знакомство с  экологической деятельностью. </w:t>
      </w:r>
      <w:r>
        <w:rPr>
          <w:rFonts w:ascii="Times New Roman" w:hAnsi="Times New Roman" w:cs="Times New Roman"/>
          <w:sz w:val="24"/>
          <w:szCs w:val="24"/>
        </w:rPr>
        <w:t xml:space="preserve">В 2023-2024 году они стали более опытными и более активными, чем в первый год обучения.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победителей и призеров конкурсов естественнонаучной направленности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23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4417"/>
        <w:gridCol w:w="1481"/>
        <w:gridCol w:w="2021"/>
        <w:gridCol w:w="1717"/>
      </w:tblGrid>
      <w:tr>
        <w:tblPrEx/>
        <w:trPr>
          <w:jc w:val="center"/>
        </w:trPr>
        <w:tc>
          <w:tcPr>
            <w:tcW w:w="1165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участия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417" w:type="dxa"/>
            <w:textDirection w:val="lrTb"/>
            <w:noWrap w:val="false"/>
          </w:tcPr>
          <w:p>
            <w:pPr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jc w:val="center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jc w:val="center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jc w:val="center"/>
          <w:trHeight w:val="490"/>
        </w:trPr>
        <w:tc>
          <w:tcPr>
            <w:tcW w:w="1165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уголок большой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21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«Юные исследователи Алтая»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Экознайки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Изучаем природу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реализованных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«Заповедные острова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из 3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3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детского рисунка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Эколята-друзья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защитники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10"/>
        </w:trPr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сезон Всероссийского Марафона Друзей заповедных островов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7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480"/>
        </w:trPr>
        <w:tc>
          <w:tcPr>
            <w:tcW w:w="1165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2022-2023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Экознайки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Изучаем природу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7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800"/>
        </w:trPr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экологический конкурс «Покормите птиц зимой!»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7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165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«Сохраним биосферу», номинация «Заповедные грани Алтайского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«Сохраним биосферу», номинация «Экологический рисунок»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165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417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марафон Друзей заповедных островов.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 8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анные таблицы показывают, что чем старше и опытнее дети, тем чаще и результативнее они участвуют в конкурсах и соревнованиях разных уровней. И если за прошлый учебный год мы с ребятами участвовали только в двух конкурсах, то уже на втором году обучения мы </w:t>
      </w:r>
      <w:r>
        <w:rPr>
          <w:rFonts w:ascii="Times New Roman" w:hAnsi="Times New Roman" w:cs="Times New Roman"/>
          <w:sz w:val="24"/>
          <w:szCs w:val="24"/>
        </w:rPr>
        <w:t xml:space="preserve">приняли участие в 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конк</w:t>
      </w:r>
      <w:r>
        <w:rPr>
          <w:rFonts w:ascii="Times New Roman" w:hAnsi="Times New Roman" w:cs="Times New Roman"/>
          <w:sz w:val="24"/>
          <w:szCs w:val="24"/>
        </w:rPr>
        <w:t xml:space="preserve">урсах</w:t>
      </w:r>
      <w:r>
        <w:rPr>
          <w:rFonts w:ascii="Times New Roman" w:hAnsi="Times New Roman" w:cs="Times New Roman"/>
          <w:sz w:val="24"/>
          <w:szCs w:val="24"/>
        </w:rPr>
        <w:t xml:space="preserve">, четыре из которых принесли нам победу и призовые места.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2. Мониторинг участия в природоохранных акциях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23"/>
        <w:tblW w:w="0" w:type="auto"/>
        <w:jc w:val="center"/>
        <w:tblLook w:val="04A0" w:firstRow="1" w:lastRow="0" w:firstColumn="1" w:lastColumn="0" w:noHBand="0" w:noVBand="1"/>
      </w:tblPr>
      <w:tblGrid>
        <w:gridCol w:w="1401"/>
        <w:gridCol w:w="6333"/>
        <w:gridCol w:w="1872"/>
        <w:gridCol w:w="1382"/>
      </w:tblGrid>
      <w:tr>
        <w:tblPrEx/>
        <w:trPr>
          <w:jc w:val="center"/>
          <w:trHeight w:val="20"/>
        </w:trPr>
        <w:tc>
          <w:tcPr>
            <w:tcW w:w="1401" w:type="dxa"/>
            <w:textDirection w:val="lrTb"/>
            <w:noWrap w:val="false"/>
          </w:tcPr>
          <w:p>
            <w:pPr>
              <w:jc w:val="center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проведения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6333" w:type="dxa"/>
            <w:textDirection w:val="lrTb"/>
            <w:noWrap w:val="false"/>
          </w:tcPr>
          <w:p>
            <w:pPr>
              <w:jc w:val="center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акции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872" w:type="dxa"/>
            <w:textDirection w:val="lrTb"/>
            <w:noWrap w:val="false"/>
          </w:tcPr>
          <w:p>
            <w:pPr>
              <w:jc w:val="center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jc w:val="center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Процент участия от общего количества учеников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2021-2022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6333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«Сдай макулатуру, спаси дерево!»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0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33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Лесовосстановительные акции «Живи, лес»,  «Сад памяти»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«Чистый заказник»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0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33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по сбору отработанных батареек «Сделай мир чище – начни с себя!»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95%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0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6333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«Помощь зимующим птицам»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0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6333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«Чистое село», «Трудовой десант», «Чистый берег»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«Покормите птиц зимой!»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2023-2024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6333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марафон «Хранители птиц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01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33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«Крышки Енота»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Краевой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98%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01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33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перепись воробьев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«Сад победы»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1401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333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«Чистое село», «Трудовой десант», «Чистый берег»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«Покормите птиц зимой!»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7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Общешкольный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jc w:val="both"/>
              <w:tabs>
                <w:tab w:val="left" w:pos="157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Данные таблицы свидетельствуют о том, что дети охотно участвуют в природоохранных акциях вне зависимости от возраста и сроков обучения в объединении.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Исследование удовлетворенности образовательным процессом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пока</w:t>
      </w:r>
      <w:r>
        <w:rPr>
          <w:rFonts w:ascii="Times New Roman" w:hAnsi="Times New Roman" w:cs="Times New Roman"/>
          <w:sz w:val="24"/>
          <w:szCs w:val="24"/>
        </w:rPr>
        <w:t xml:space="preserve">зателей в течение трех лет. </w:t>
      </w:r>
      <w:r>
        <w:rPr>
          <w:rFonts w:ascii="Times New Roman" w:hAnsi="Times New Roman" w:cs="Times New Roman"/>
          <w:sz w:val="24"/>
          <w:szCs w:val="24"/>
        </w:rPr>
        <w:t xml:space="preserve"> По итогам анкетирования сделан вывод, что дети посещают занятия с интересом и удовольствием.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left" w:pos="157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рограмма дает положительную динамику и по количественным результатам, и по качественным, а значит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являет</w:t>
      </w:r>
      <w:r>
        <w:rPr>
          <w:rFonts w:ascii="Times New Roman" w:hAnsi="Times New Roman" w:cs="Times New Roman"/>
          <w:sz w:val="24"/>
          <w:szCs w:val="24"/>
        </w:rPr>
        <w:t xml:space="preserve">ся хорошей основой экологического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воспитания детей.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  <w:style w:type="table" w:styleId="623">
    <w:name w:val="Table Grid"/>
    <w:basedOn w:val="619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1"/>
  <c:lang val="ru-RU"/>
  <c:roundedCorners val="0"/>
  <mc:AlternateContent>
    <mc:Choice Requires="c14">
      <c14:style val="102"/>
    </mc:Choice>
    <mc:Fallback>
      <c:style val="2"/>
    </mc:Fallback>
  </mc:AlternateContent>
  <c:chart>
    <c:view3D>
      <c:perspective val="30"/>
    </c:view3D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 xml:space="preserve">уровень овладения программым материалом</c:v>
                </c:pt>
                <c:pt idx="1">
                  <c:v xml:space="preserve">уровень овладения практическими  умениями</c:v>
                </c:pt>
                <c:pt idx="2">
                  <c:v xml:space="preserve">уровень посещаемости </c:v>
                </c:pt>
                <c:pt idx="3">
                  <c:v xml:space="preserve">уровень участия в конкурсных мероприятиях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 xml:space="preserve">уровень овладения программым материалом</c:v>
                </c:pt>
                <c:pt idx="1">
                  <c:v xml:space="preserve">уровень овладения практическими  умениями</c:v>
                </c:pt>
                <c:pt idx="2">
                  <c:v xml:space="preserve">уровень посещаемости </c:v>
                </c:pt>
                <c:pt idx="3">
                  <c:v xml:space="preserve">уровень участия в конкурсных мероприятиях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 xml:space="preserve">уровень овладения программым материалом</c:v>
                </c:pt>
                <c:pt idx="1">
                  <c:v xml:space="preserve">уровень овладения практическими  умениями</c:v>
                </c:pt>
                <c:pt idx="2">
                  <c:v xml:space="preserve">уровень посещаемости </c:v>
                </c:pt>
                <c:pt idx="3">
                  <c:v xml:space="preserve">уровень участия в конкурсных мероприятиях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10</c:v>
                </c:pt>
                <c:pt idx="3">
                  <c:v>6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150"/>
        <c:shape val="cylinder"/>
        <c:axId val="75446912"/>
        <c:axId val="75460992"/>
      </c:bar3DChart>
      <c:catAx>
        <c:axId val="7544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5460992"/>
        <c:crosses val="autoZero"/>
        <c:auto val="1"/>
        <c:lblAlgn val="ctr"/>
        <c:lblOffset val="100"/>
        <c:noMultiLvlLbl val="0"/>
      </c:catAx>
      <c:valAx>
        <c:axId val="75460992"/>
        <c:scaling>
          <c:orientation val="minMax"/>
        </c:scaling>
        <c:delete val="0"/>
        <c:axPos val="l"/>
        <c:majorGridlines>
          <c:spPr bwMode="auto"/>
        </c:majorGridlines>
        <c:numFmt formatCode="General" sourceLinked="1"/>
        <c:majorTickMark val="out"/>
        <c:minorTickMark val="none"/>
        <c:tickLblPos val="nextTo"/>
        <c:crossAx val="75446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470"/>
          <c:y val="0.377650"/>
          <c:w val="0.122557"/>
          <c:h val="0.2298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DF13-1156-42B8-BE61-C40CDD2B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Пуск</dc:creator>
  <cp:keywords/>
  <dc:description/>
  <cp:lastModifiedBy>Евгения Занина</cp:lastModifiedBy>
  <cp:revision>61</cp:revision>
  <dcterms:created xsi:type="dcterms:W3CDTF">2021-07-14T07:39:00Z</dcterms:created>
  <dcterms:modified xsi:type="dcterms:W3CDTF">2024-06-07T04:32:19Z</dcterms:modified>
</cp:coreProperties>
</file>